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4F9D9" w14:textId="7BAF8750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ФОС по дисциплине «</w:t>
      </w:r>
      <w:r w:rsidR="00B465FA">
        <w:rPr>
          <w:rFonts w:eastAsia="Times New Roman" w:cs="Times New Roman"/>
          <w:b/>
          <w:bCs/>
          <w:sz w:val="20"/>
          <w:szCs w:val="20"/>
          <w:lang w:eastAsia="ru-RU"/>
        </w:rPr>
        <w:t>Математическое моделирование объектов и систем управления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341206E2" w14:textId="77777777" w:rsidR="00B465FA" w:rsidRPr="007B7531" w:rsidRDefault="00B465FA" w:rsidP="00B465FA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2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7.0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Управление в технических системах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Цифровая обработка сигналов в автономных системах управления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14:paraId="2A8D782D" w14:textId="7777777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10481105" w14:textId="769F0CF1" w:rsidR="007B7531" w:rsidRDefault="006013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ОПК-3</w:t>
      </w:r>
      <w:r w:rsidR="007B7531" w:rsidRPr="007B7531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455C34">
        <w:rPr>
          <w:rFonts w:eastAsia="Times New Roman" w:cs="Times New Roman"/>
          <w:sz w:val="20"/>
          <w:szCs w:val="20"/>
          <w:lang w:eastAsia="ru-RU"/>
        </w:rPr>
        <w:t>С</w:t>
      </w:r>
      <w:r w:rsidR="00455C34" w:rsidRPr="00455C34">
        <w:rPr>
          <w:rFonts w:eastAsia="Times New Roman" w:cs="Times New Roman"/>
          <w:sz w:val="20"/>
          <w:szCs w:val="20"/>
          <w:lang w:eastAsia="ru-RU"/>
        </w:rPr>
        <w:t>пособен самостоятельно решать задачи управления в технических системах на базе последних достижений науки и техник</w:t>
      </w:r>
      <w:r w:rsidR="00455C34">
        <w:rPr>
          <w:rFonts w:eastAsia="Times New Roman" w:cs="Times New Roman"/>
          <w:sz w:val="20"/>
          <w:szCs w:val="20"/>
          <w:lang w:eastAsia="ru-RU"/>
        </w:rPr>
        <w:t>и.</w:t>
      </w:r>
    </w:p>
    <w:p w14:paraId="4EC06346" w14:textId="05FF2EFF" w:rsidR="001E74BF" w:rsidRDefault="001E74BF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ОПК-8. С</w:t>
      </w:r>
      <w:r w:rsidRPr="00455C34">
        <w:rPr>
          <w:rFonts w:eastAsia="Times New Roman" w:cs="Times New Roman"/>
          <w:sz w:val="20"/>
          <w:szCs w:val="20"/>
          <w:lang w:eastAsia="ru-RU"/>
        </w:rPr>
        <w:t>пособен выбирать методы и разрабатывать системы управления сложными техническими объектами и технологическими процессами.</w:t>
      </w:r>
    </w:p>
    <w:p w14:paraId="6C176B48" w14:textId="77777777" w:rsidR="001E74BF" w:rsidRPr="007B7531" w:rsidRDefault="001E74BF" w:rsidP="001E74BF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ПСК-4.1. С</w:t>
      </w:r>
      <w:r w:rsidRPr="00455C34">
        <w:rPr>
          <w:rFonts w:eastAsia="Times New Roman" w:cs="Times New Roman"/>
          <w:sz w:val="20"/>
          <w:szCs w:val="20"/>
          <w:lang w:eastAsia="ru-RU"/>
        </w:rPr>
        <w:t>пособен разрабатывать и реализовывать комплексные математические модели автономных информационных и управляющих систем.</w:t>
      </w:r>
    </w:p>
    <w:p w14:paraId="6FDD5641" w14:textId="08C42DB4" w:rsidR="00455C34" w:rsidRPr="007B7531" w:rsidRDefault="00455C34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417"/>
        <w:gridCol w:w="700"/>
      </w:tblGrid>
      <w:tr w:rsidR="0055487F" w:rsidRPr="007B7531" w14:paraId="4541F155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79C00C" w14:textId="77777777" w:rsidR="0055487F" w:rsidRPr="007B7531" w:rsidRDefault="0055487F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28C95830" w14:textId="77777777" w:rsidR="0055487F" w:rsidRPr="007B7531" w:rsidRDefault="0055487F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07185D" w14:textId="77777777" w:rsidR="0055487F" w:rsidRPr="007B7531" w:rsidRDefault="0055487F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13E7CAE" w14:textId="77777777" w:rsidR="0055487F" w:rsidRPr="007B7531" w:rsidRDefault="0055487F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55487F" w:rsidRPr="007B7531" w14:paraId="61DA96F0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D426B8" w14:textId="77777777" w:rsidR="0055487F" w:rsidRPr="00992E46" w:rsidRDefault="0055487F" w:rsidP="00455C3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2" w:name="_Hlk155559465"/>
          </w:p>
        </w:tc>
        <w:tc>
          <w:tcPr>
            <w:tcW w:w="7371" w:type="dxa"/>
          </w:tcPr>
          <w:p w14:paraId="7AD16FD2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Цель анализа:</w:t>
            </w:r>
          </w:p>
          <w:p w14:paraId="4FBBC858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получить информацию о характере функционирования объекта проектирования;</w:t>
            </w:r>
          </w:p>
          <w:p w14:paraId="7201B7F3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выбрать или рассчитать значения отдельных параметров проекта;</w:t>
            </w:r>
          </w:p>
          <w:p w14:paraId="46FAD944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определить множество возможных проектных решений;</w:t>
            </w:r>
          </w:p>
          <w:p w14:paraId="4C68EB43" w14:textId="206DE670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sz w:val="20"/>
                <w:szCs w:val="20"/>
              </w:rPr>
              <w:t>г) разработать техническое задание на проектирование.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F3299CB" w14:textId="329F308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42B9B0" w14:textId="14196E8F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AEA9875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9DD54B9" w14:textId="77777777" w:rsidR="0055487F" w:rsidRPr="00992E46" w:rsidRDefault="0055487F" w:rsidP="00455C3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B25BDF5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Задача структурного синтеза:</w:t>
            </w:r>
          </w:p>
          <w:p w14:paraId="41F503F8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получить информацию о характере функционирования объекта проектирования;</w:t>
            </w:r>
          </w:p>
          <w:p w14:paraId="6FA62220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выбрать или рассчитать значения отдельных параметров проекта;</w:t>
            </w:r>
          </w:p>
          <w:p w14:paraId="53780814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определить множество проектных решений;</w:t>
            </w:r>
          </w:p>
          <w:p w14:paraId="2EAA0E26" w14:textId="3EDADB2E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sz w:val="20"/>
                <w:szCs w:val="20"/>
              </w:rPr>
              <w:t>г) разработать техническое задание на проектирование.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F717BAB" w14:textId="26AA6B54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A22823" w14:textId="72E438E0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B6B3239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EE9AF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605D1B6F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Математической моделью конфликтных ситуаций является:</w:t>
            </w:r>
          </w:p>
          <w:p w14:paraId="6EF2556D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система массового обслуживания;</w:t>
            </w:r>
          </w:p>
          <w:p w14:paraId="61C42A36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теория вероятностей;</w:t>
            </w:r>
          </w:p>
          <w:p w14:paraId="3D943DF2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теория игр;</w:t>
            </w:r>
          </w:p>
          <w:p w14:paraId="3087BD49" w14:textId="7B194F1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теория графов.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C817CFE" w14:textId="0570815A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A502DA" w14:textId="481F0BBF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27127EE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44310A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241A07E7" w14:textId="0E4BA04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Статистический метод анализа результатов наблюдений, зависящих от различных одновременно действующих факторов, основанный на сравнении оценок дисперсий соответствующих групп выборочных данных: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DD2537D" w14:textId="2D6DE3EE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8D9B13D" w14:textId="6BCDDA8E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6C94FE5C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4E7C73A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176B42C" w14:textId="4E56F32F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Координаты частицы сплошной среды, которые соответствуют ее текущему положению относительно фиксированной системы координат: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C5545D5" w14:textId="6657D68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64D03A" w14:textId="1F30928F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7DE03A3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AEEFF97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07DAD70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Критерий устойчивости явного численного решения дифференциальных уравнений в частных производных:</w:t>
            </w:r>
          </w:p>
          <w:p w14:paraId="00738978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Куранта-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Фридрихса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-Леви;</w:t>
            </w:r>
          </w:p>
          <w:p w14:paraId="6B6D63A8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Фишера;</w:t>
            </w:r>
          </w:p>
          <w:p w14:paraId="5E952488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Левенберга-Марквардта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6C0BD5AB" w14:textId="1AA76E9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Джонсона-Кука.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26E7062" w14:textId="75CE025E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A1ED8" w14:textId="0E29B5F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62384BD3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3A3A89B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BD0732D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Собственные частоты изгибных колебаний балки при наличии предварительных напряжений растяжения:</w:t>
            </w:r>
          </w:p>
          <w:p w14:paraId="66DF6148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равны нулю;</w:t>
            </w:r>
          </w:p>
          <w:p w14:paraId="22A4027E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увеличиваются;</w:t>
            </w:r>
          </w:p>
          <w:p w14:paraId="494C15F3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уменьшаются;</w:t>
            </w:r>
          </w:p>
          <w:p w14:paraId="78882AD5" w14:textId="0C69937F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нет верных ответов.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1BDC76F" w14:textId="71DDA5E5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8989FD4" w14:textId="5F32382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616E8FAD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B92C644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4526712C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Критерий качества сеточного разбиения в системе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Meshing</w:t>
            </w:r>
            <w:r w:rsidRPr="00AE2F72">
              <w:rPr>
                <w:rFonts w:cs="Times New Roman"/>
                <w:sz w:val="20"/>
                <w:szCs w:val="20"/>
              </w:rPr>
              <w:t>, который определяет насколько близка форма элемента к идеальной (равносторонний треугольник, прямоугольник):</w:t>
            </w:r>
          </w:p>
          <w:p w14:paraId="6ED07262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а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Orthogonal Quality;</w:t>
            </w:r>
          </w:p>
          <w:p w14:paraId="4DC10BCB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б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E2F72">
              <w:rPr>
                <w:rFonts w:cs="Times New Roman"/>
                <w:sz w:val="20"/>
                <w:szCs w:val="20"/>
                <w:lang w:val="en-US"/>
              </w:rPr>
              <w:t>Skewness</w:t>
            </w:r>
            <w:proofErr w:type="spellEnd"/>
            <w:r w:rsidRPr="00AE2F72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14:paraId="47691883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в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Sweep;</w:t>
            </w:r>
          </w:p>
          <w:p w14:paraId="48CD2832" w14:textId="76842AC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г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 xml:space="preserve">) </w:t>
            </w:r>
            <w:r w:rsidRPr="00AE2F72">
              <w:rPr>
                <w:rFonts w:cs="Times New Roman"/>
                <w:bCs/>
                <w:iCs/>
                <w:sz w:val="20"/>
                <w:szCs w:val="20"/>
                <w:lang w:val="en-US"/>
              </w:rPr>
              <w:t>Maximum Corner Angle.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94357" w14:textId="659F06E0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2C9592A" w14:textId="20D7B983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6054D32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4C90463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7EB9F45F" w14:textId="35AE553D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Уравнение, связывающее между собой термодинамические параметры системы, такие как температура, давление, объем и массовая скорость, а также их приращения: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FEAE6" w14:textId="7C400A95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EE36E25" w14:textId="3FE2E759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C5ECF2B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504AAE8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F1D5D7F" w14:textId="1C67995D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Минимальной невязкой по методу взвешенных невязок считается та невязка, которая: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C6E0A" w14:textId="5B728F48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F65D1B" w14:textId="54EFA96D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19F54E2C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FC1787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E1F5D9A" w14:textId="22FEFB74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Процесс переноса тепловой энергии при перемещении объемов жидкости или газа в пространстве из области с одной температурой в область с другой называется: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E51FF" w14:textId="6AA3D3B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6BC898A" w14:textId="29FE017A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75DADC3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1FB73E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10225EB2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Для каких областей анализа предназначены следующие программные модули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cs="Times New Roman"/>
                <w:sz w:val="20"/>
                <w:szCs w:val="20"/>
              </w:rPr>
              <w:t>:</w:t>
            </w:r>
          </w:p>
          <w:p w14:paraId="119798CD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а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Steady-State Thermal;</w:t>
            </w:r>
          </w:p>
          <w:p w14:paraId="7FCDA48B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б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LS-DYNA;</w:t>
            </w:r>
          </w:p>
          <w:p w14:paraId="0F2E71EB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в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Transient Thermal;</w:t>
            </w:r>
          </w:p>
          <w:p w14:paraId="03D4FCF2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г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Modal.</w:t>
            </w:r>
          </w:p>
          <w:p w14:paraId="1CF888B6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Варианты ответов:</w:t>
            </w:r>
          </w:p>
          <w:p w14:paraId="05A17BD2" w14:textId="77777777" w:rsidR="0055487F" w:rsidRPr="00AE2F72" w:rsidRDefault="0055487F" w:rsidP="00802EE3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113" w:firstLine="0"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нестационарный тепловой анализ;</w:t>
            </w:r>
          </w:p>
          <w:p w14:paraId="1F17E8A1" w14:textId="77777777" w:rsidR="0055487F" w:rsidRPr="00AE2F72" w:rsidRDefault="0055487F" w:rsidP="00802EE3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113" w:firstLine="0"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модальный анализ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14:paraId="372675DE" w14:textId="77777777" w:rsidR="0055487F" w:rsidRPr="00AE2F72" w:rsidRDefault="0055487F" w:rsidP="00802EE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анализ высокоскоростных нелинейных динамических процессов;</w:t>
            </w:r>
          </w:p>
          <w:p w14:paraId="66C57387" w14:textId="36C662C6" w:rsidR="0055487F" w:rsidRPr="00AE2F72" w:rsidRDefault="0055487F" w:rsidP="00802EE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стационарный тепловой анализ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15BDB" w14:textId="318A203E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8CDB9CC" w14:textId="1B03BCB9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B8D7887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FF0FB32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14AAE2E2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Граничное условие в CAE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Ansys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Steady-State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Thermal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, предусматривающее задание плотности теплового потока:</w:t>
            </w:r>
          </w:p>
          <w:p w14:paraId="7ACEB145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а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Convection;</w:t>
            </w:r>
          </w:p>
          <w:p w14:paraId="6673949B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б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Heat Flow;</w:t>
            </w:r>
          </w:p>
          <w:p w14:paraId="7D887A1A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в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Perfectly Insulation;</w:t>
            </w:r>
          </w:p>
          <w:p w14:paraId="5AE1ABB7" w14:textId="5D00AA0C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г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Heat Flux.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BD7F5" w14:textId="0C43BA0F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3893DD" w14:textId="1D45981C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B285106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8FA6E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95C37D7" w14:textId="1EDB9C3C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Чрезмерные искажения расчетной сетки при использовании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Лагранжевого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решателя в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E2F72">
              <w:rPr>
                <w:rFonts w:cs="Times New Roman"/>
                <w:sz w:val="20"/>
                <w:szCs w:val="20"/>
                <w:lang w:val="en-US"/>
              </w:rPr>
              <w:t>Autodyn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по типу «песочных часов» («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Hourglass</w:t>
            </w:r>
            <w:r w:rsidRPr="00AE2F72">
              <w:rPr>
                <w:rFonts w:cs="Times New Roman"/>
                <w:sz w:val="20"/>
                <w:szCs w:val="20"/>
              </w:rPr>
              <w:t>») устраняются путем введения следующего алгоритма: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1AA6F" w14:textId="6E618F5D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FD435FF" w14:textId="363B0A5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931954B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418D1DE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79243468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 xml:space="preserve">Граничное условие в CAE </w:t>
            </w:r>
            <w:proofErr w:type="spellStart"/>
            <w:r w:rsidRPr="00AE2F72">
              <w:rPr>
                <w:rFonts w:eastAsia="Calibri" w:cs="Times New Roman"/>
                <w:sz w:val="20"/>
                <w:szCs w:val="20"/>
              </w:rPr>
              <w:t>Ansys</w:t>
            </w:r>
            <w:proofErr w:type="spellEnd"/>
            <w:r w:rsidRPr="00AE2F7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Maxwell</w:t>
            </w:r>
            <w:r w:rsidRPr="00AE2F72">
              <w:rPr>
                <w:rFonts w:eastAsia="Calibri" w:cs="Times New Roman"/>
                <w:sz w:val="20"/>
                <w:szCs w:val="20"/>
              </w:rPr>
              <w:t>, предназначенное для задания бесконечных границ расчетной области:</w:t>
            </w:r>
          </w:p>
          <w:p w14:paraId="7CFB67C6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а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) Balloon;</w:t>
            </w:r>
          </w:p>
          <w:p w14:paraId="53C909A5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б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) Vector Potential;</w:t>
            </w:r>
          </w:p>
          <w:p w14:paraId="6283DC60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в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) Flux Lines;</w:t>
            </w:r>
          </w:p>
          <w:p w14:paraId="27380E09" w14:textId="77AA3C1E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г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Scalar Potential;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DEB4D" w14:textId="6F43C150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768C3F0" w14:textId="155C039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125D857" w14:textId="77777777" w:rsidTr="0055487F">
        <w:trPr>
          <w:trHeight w:val="1504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6E3D390" w14:textId="77777777" w:rsidR="0055487F" w:rsidRPr="00992E46" w:rsidRDefault="0055487F" w:rsidP="00B060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777F8A35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 моделям турбулентности можно отнести:</w:t>
            </w:r>
          </w:p>
          <w:p w14:paraId="72E604C4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а)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AE2F72">
              <w:rPr>
                <w:rFonts w:cs="Times New Roman"/>
                <w:sz w:val="20"/>
                <w:szCs w:val="20"/>
              </w:rPr>
              <w:t>-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7D51DA98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б)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AE2F72">
              <w:rPr>
                <w:rFonts w:cs="Times New Roman"/>
                <w:sz w:val="20"/>
                <w:szCs w:val="20"/>
              </w:rPr>
              <w:t>-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w</w:t>
            </w:r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483C021D" w14:textId="77777777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Спаларта-Аллмараса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4D383226" w14:textId="4129E6FB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г)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Друкера-Прагера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6072F" w14:textId="106F366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84E5BD5" w14:textId="1585E282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5E121F1B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E42EE61" w14:textId="77777777" w:rsidR="0055487F" w:rsidRPr="00992E46" w:rsidRDefault="0055487F" w:rsidP="006819C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48BFEAC3" w14:textId="0BCCC1E3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Наихудшему качеству ортогональности ячеек сеток соответствует значение: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F5FC7" w14:textId="5760358D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95A08D9" w14:textId="20F3391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7DB2343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78A76" w14:textId="77777777" w:rsidR="0055487F" w:rsidRPr="00992E46" w:rsidRDefault="0055487F" w:rsidP="00C80C2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3B57750F" w14:textId="7BC9D10E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Процесс с нулевым внешним притоком энергии называется: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C0C46" w14:textId="25D41923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1FFA7F4" w14:textId="741F0530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4704C678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84D88F7" w14:textId="77777777" w:rsidR="0055487F" w:rsidRPr="00992E46" w:rsidRDefault="0055487F" w:rsidP="009474B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218C1C10" w14:textId="1CC6CC52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Отношение скорости среды к местной скорости звука называется: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0CF14" w14:textId="27F7C372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075171F" w14:textId="34ED68B5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6D0184BD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BAB6C0" w14:textId="77777777" w:rsidR="0055487F" w:rsidRPr="00992E46" w:rsidRDefault="0055487F" w:rsidP="00371B3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210197FA" w14:textId="62D8AE59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AE2F72">
              <w:rPr>
                <w:rFonts w:cs="Times New Roman"/>
                <w:sz w:val="20"/>
                <w:szCs w:val="20"/>
              </w:rPr>
              <w:t>Немонотонность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решения в методе гидродинамики сглаженных частиц сглаживается путем введения: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03E52" w14:textId="3AB5C3A2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23A1C3" w14:textId="53EF5781" w:rsidR="0055487F" w:rsidRPr="00AE2F72" w:rsidRDefault="0055487F" w:rsidP="00802EE3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bookmarkEnd w:id="0"/>
      <w:bookmarkEnd w:id="2"/>
      <w:tr w:rsidR="0055487F" w:rsidRPr="007B7531" w14:paraId="1D3B6ACC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076B5B5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4525DAD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Для каких областей анализа предназначены следующие программные модули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cs="Times New Roman"/>
                <w:sz w:val="20"/>
                <w:szCs w:val="20"/>
              </w:rPr>
              <w:t>:</w:t>
            </w:r>
          </w:p>
          <w:p w14:paraId="5848334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а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E2F72">
              <w:rPr>
                <w:rFonts w:cs="Times New Roman"/>
                <w:sz w:val="20"/>
                <w:szCs w:val="20"/>
                <w:lang w:val="en-US"/>
              </w:rPr>
              <w:t>Autodyn</w:t>
            </w:r>
            <w:proofErr w:type="spellEnd"/>
            <w:r w:rsidRPr="00AE2F72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14:paraId="64E4233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б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Fluent;</w:t>
            </w:r>
          </w:p>
          <w:p w14:paraId="1F2757C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в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Maxwell;</w:t>
            </w:r>
          </w:p>
          <w:p w14:paraId="435E8D7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г)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Motion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  <w:p w14:paraId="1D65B57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Варианты ответов:</w:t>
            </w:r>
          </w:p>
          <w:p w14:paraId="61F08381" w14:textId="77777777" w:rsidR="0055487F" w:rsidRPr="00AE2F72" w:rsidRDefault="0055487F" w:rsidP="001E74BF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3" w:firstLine="0"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анализ электромагнитных полей;</w:t>
            </w:r>
          </w:p>
          <w:p w14:paraId="62F1D8CF" w14:textId="77777777" w:rsidR="0055487F" w:rsidRPr="00AE2F72" w:rsidRDefault="0055487F" w:rsidP="001E74BF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динамика жидкостей и газов;</w:t>
            </w:r>
          </w:p>
          <w:p w14:paraId="73175B15" w14:textId="77777777" w:rsidR="0055487F" w:rsidRPr="00AE2F72" w:rsidRDefault="0055487F" w:rsidP="001E74BF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анализ высокоскоростных нелинейных динамических процессов;</w:t>
            </w:r>
          </w:p>
          <w:p w14:paraId="620E2552" w14:textId="77777777" w:rsidR="0055487F" w:rsidRPr="00AE2F72" w:rsidRDefault="0055487F" w:rsidP="001E74BF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кинематический анализ.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5309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304E11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61E2F900" w14:textId="77777777" w:rsidTr="005548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7CE64F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19C222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 основе метода лежит разложение неизвестного решения по собственным модам и переход к модальным координатам:</w:t>
            </w:r>
          </w:p>
          <w:p w14:paraId="6DD696D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0D9879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433CA4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6246E1" w14:paraId="4C7323A6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76996" w14:textId="77777777" w:rsidR="0055487F" w:rsidRPr="006246E1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71" w:type="dxa"/>
          </w:tcPr>
          <w:p w14:paraId="0F1A919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 методе гидродинамики сглаженных частиц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SPH</w:t>
            </w:r>
            <w:r w:rsidRPr="00AE2F72">
              <w:rPr>
                <w:rFonts w:cs="Times New Roman"/>
                <w:sz w:val="20"/>
                <w:szCs w:val="20"/>
              </w:rPr>
              <w:t xml:space="preserve"> весовая функция заданного вида, позволяющая строить непрерывные распределения параметров сплошной среды по дискретному множеству условных частиц: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A962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A2083F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6246E1" w14:paraId="0E034D50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B6274" w14:textId="77777777" w:rsidR="0055487F" w:rsidRPr="006246E1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71" w:type="dxa"/>
          </w:tcPr>
          <w:p w14:paraId="336D0376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 моделям прочности материалов можно отнести:</w:t>
            </w:r>
          </w:p>
          <w:p w14:paraId="782AA180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модель Джонсона-Кука;</w:t>
            </w:r>
          </w:p>
          <w:p w14:paraId="1682B153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б) модель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Стейнберга-Гуинана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2ED98084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модель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Зерилли-Армстронга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692406BE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модель Ми-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Грюнайзена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CDE3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765F8B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6246E1" w14:paraId="18FB4DF8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9BED2" w14:textId="77777777" w:rsidR="0055487F" w:rsidRPr="006246E1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71" w:type="dxa"/>
          </w:tcPr>
          <w:p w14:paraId="03DA4015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 вариационным методам можно отнести следующий метод:</w:t>
            </w:r>
          </w:p>
          <w:p w14:paraId="66D9052C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метод Рэлея-Ритца;</w:t>
            </w:r>
          </w:p>
          <w:p w14:paraId="2EA854E2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метод Рунге-Кутта;</w:t>
            </w:r>
          </w:p>
          <w:p w14:paraId="0ACD2B29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метод Якоби;</w:t>
            </w:r>
          </w:p>
          <w:p w14:paraId="7BFD7B3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г) метод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Крамера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081F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6E6A2A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43238CF9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AE062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7CAEFFC4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Критерий устойчивости явного численного решения дифференциальных уравнений в частных производных:</w:t>
            </w:r>
          </w:p>
          <w:p w14:paraId="6096FF42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Куранта-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Фридрихса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-Леви;</w:t>
            </w:r>
          </w:p>
          <w:p w14:paraId="1BCB66F6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Фишера;</w:t>
            </w:r>
          </w:p>
          <w:p w14:paraId="6539B8FE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Кохрена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727AC90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г) Джонсона-Кука.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76CB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9340A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42D175F8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40B8A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89B9A3A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Задача параметрического синтеза:</w:t>
            </w:r>
          </w:p>
          <w:p w14:paraId="64788EE4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получить информацию о характере функционирования объекта проектирования;</w:t>
            </w:r>
          </w:p>
          <w:p w14:paraId="000EA948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выбрать или рассчитать значения отдельных параметров проекта;</w:t>
            </w:r>
          </w:p>
          <w:p w14:paraId="4D80EA93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определить множество проектных решений;</w:t>
            </w:r>
          </w:p>
          <w:p w14:paraId="65B3E4D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г) разработать техническое задание на проектирование.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A96B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BA4F82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51557E90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77798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4BA3ED8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Какую модель прочности из перечисленных целесообразно использовать для анализа высокоскоростного разрушения бетонной конструкции:</w:t>
            </w:r>
          </w:p>
          <w:p w14:paraId="6ADBBEF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Джонсона-Кука;</w:t>
            </w:r>
          </w:p>
          <w:p w14:paraId="0B3AC82E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Ху-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Вашицу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691E3F4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AE2F72">
              <w:rPr>
                <w:rFonts w:cs="Times New Roman"/>
                <w:sz w:val="20"/>
                <w:szCs w:val="20"/>
                <w:shd w:val="clear" w:color="auto" w:fill="FFFFFF"/>
              </w:rPr>
              <w:t>Риделя</w:t>
            </w:r>
            <w:proofErr w:type="spellEnd"/>
            <w:r w:rsidRPr="00AE2F72">
              <w:rPr>
                <w:rFonts w:cs="Times New Roman"/>
                <w:sz w:val="20"/>
                <w:szCs w:val="20"/>
                <w:shd w:val="clear" w:color="auto" w:fill="FFFFFF"/>
              </w:rPr>
              <w:t>-</w:t>
            </w:r>
            <w:proofErr w:type="spellStart"/>
            <w:r w:rsidRPr="00AE2F72">
              <w:rPr>
                <w:rFonts w:cs="Times New Roman"/>
                <w:sz w:val="20"/>
                <w:szCs w:val="20"/>
                <w:shd w:val="clear" w:color="auto" w:fill="FFFFFF"/>
              </w:rPr>
              <w:t>Хармайера</w:t>
            </w:r>
            <w:proofErr w:type="spellEnd"/>
            <w:r w:rsidRPr="00AE2F72">
              <w:rPr>
                <w:rFonts w:cs="Times New Roman"/>
                <w:sz w:val="20"/>
                <w:szCs w:val="20"/>
                <w:shd w:val="clear" w:color="auto" w:fill="FFFFFF"/>
              </w:rPr>
              <w:t>-Тома</w:t>
            </w:r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486EC4A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г) </w:t>
            </w:r>
            <w:proofErr w:type="spellStart"/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Стейнберга-Гуинана</w:t>
            </w:r>
            <w:proofErr w:type="spellEnd"/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63A1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C4FED7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5E5EF638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54B3A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1283E60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Какую модель прочности из перечисленных целесообразно использовать для описания поведения грунтов и горных пород:</w:t>
            </w:r>
          </w:p>
          <w:p w14:paraId="691BB0D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а)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Друкера-Прагера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665B36D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б)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Пэжины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5452B13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Джонсона-Кука;</w:t>
            </w:r>
          </w:p>
          <w:p w14:paraId="0364604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sz w:val="20"/>
                <w:szCs w:val="20"/>
              </w:rPr>
              <w:t>г) Джона-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Уилкинса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-Ли.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89E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84F2A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5487F" w:rsidRPr="007B7531" w14:paraId="178185CC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8A997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92F119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Уравнение состояния, устанавливающее зависимость между давлением, молярным объемом и абсолютной температурой идеального газа:</w:t>
            </w:r>
          </w:p>
          <w:p w14:paraId="7DC2EB4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Менделеева-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Клапейрона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39C8F4A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б)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Нахди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6D5FBB0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Тиллотсона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0C9628FA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sz w:val="20"/>
                <w:szCs w:val="20"/>
              </w:rPr>
              <w:t>г) Ми-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Грюнайзена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96A2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B39E7E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1981FA7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6B288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392BF9E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Линейные контакты в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Mechanical</w:t>
            </w:r>
            <w:r w:rsidRPr="00AE2F72">
              <w:rPr>
                <w:rFonts w:cs="Times New Roman"/>
                <w:sz w:val="20"/>
                <w:szCs w:val="20"/>
              </w:rPr>
              <w:t>, рассчитываемые за одну итерацию:</w:t>
            </w:r>
          </w:p>
          <w:p w14:paraId="671FCFD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а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Rough</w:t>
            </w:r>
            <w:r w:rsidRPr="00AE2F72">
              <w:rPr>
                <w:rFonts w:cs="Times New Roman"/>
                <w:bCs/>
                <w:sz w:val="20"/>
                <w:szCs w:val="20"/>
                <w:lang w:val="en-US"/>
              </w:rPr>
              <w:t>;</w:t>
            </w:r>
          </w:p>
          <w:p w14:paraId="4A76382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bCs/>
                <w:sz w:val="20"/>
                <w:szCs w:val="20"/>
              </w:rPr>
              <w:t>б</w:t>
            </w:r>
            <w:r w:rsidRPr="00AE2F72">
              <w:rPr>
                <w:rFonts w:cs="Times New Roman"/>
                <w:bCs/>
                <w:sz w:val="20"/>
                <w:szCs w:val="20"/>
                <w:lang w:val="en-US"/>
              </w:rPr>
              <w:t>) Frictionless;</w:t>
            </w:r>
          </w:p>
          <w:p w14:paraId="345565C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bCs/>
                <w:sz w:val="20"/>
                <w:szCs w:val="20"/>
              </w:rPr>
              <w:t>в</w:t>
            </w:r>
            <w:r w:rsidRPr="00AE2F72">
              <w:rPr>
                <w:rFonts w:cs="Times New Roman"/>
                <w:bCs/>
                <w:sz w:val="20"/>
                <w:szCs w:val="20"/>
                <w:lang w:val="en-US"/>
              </w:rPr>
              <w:t>) No separation;</w:t>
            </w:r>
          </w:p>
          <w:p w14:paraId="4B2F01F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bCs/>
                <w:sz w:val="20"/>
                <w:szCs w:val="20"/>
              </w:rPr>
              <w:t>г</w:t>
            </w:r>
            <w:r w:rsidRPr="00AE2F72">
              <w:rPr>
                <w:rFonts w:cs="Times New Roman"/>
                <w:bCs/>
                <w:sz w:val="20"/>
                <w:szCs w:val="20"/>
                <w:lang w:val="en-US"/>
              </w:rPr>
              <w:t>) Bonded.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DB5A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421D94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9B348D3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3145F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65315E0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Нелинейные контакты в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Mechanical</w:t>
            </w:r>
            <w:r w:rsidRPr="00AE2F72">
              <w:rPr>
                <w:rFonts w:cs="Times New Roman"/>
                <w:sz w:val="20"/>
                <w:szCs w:val="20"/>
              </w:rPr>
              <w:t>, требующие использования метода Ньютона-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Рафсона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и большого числа итераций:</w:t>
            </w:r>
          </w:p>
          <w:p w14:paraId="31F0DA0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sz w:val="20"/>
                <w:szCs w:val="20"/>
              </w:rPr>
              <w:t>а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) Rough</w:t>
            </w:r>
            <w:r w:rsidRPr="00AE2F72">
              <w:rPr>
                <w:rFonts w:cs="Times New Roman"/>
                <w:bCs/>
                <w:sz w:val="20"/>
                <w:szCs w:val="20"/>
                <w:lang w:val="en-US"/>
              </w:rPr>
              <w:t>;</w:t>
            </w:r>
          </w:p>
          <w:p w14:paraId="7FE9342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bCs/>
                <w:sz w:val="20"/>
                <w:szCs w:val="20"/>
              </w:rPr>
              <w:t>б</w:t>
            </w:r>
            <w:r w:rsidRPr="00AE2F72">
              <w:rPr>
                <w:rFonts w:cs="Times New Roman"/>
                <w:bCs/>
                <w:sz w:val="20"/>
                <w:szCs w:val="20"/>
                <w:lang w:val="en-US"/>
              </w:rPr>
              <w:t>) Frictionless;</w:t>
            </w:r>
          </w:p>
          <w:p w14:paraId="3083A94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E2F72">
              <w:rPr>
                <w:rFonts w:cs="Times New Roman"/>
                <w:bCs/>
                <w:sz w:val="20"/>
                <w:szCs w:val="20"/>
              </w:rPr>
              <w:t>в</w:t>
            </w:r>
            <w:r w:rsidRPr="00AE2F72">
              <w:rPr>
                <w:rFonts w:cs="Times New Roman"/>
                <w:bCs/>
                <w:sz w:val="20"/>
                <w:szCs w:val="20"/>
                <w:lang w:val="en-US"/>
              </w:rPr>
              <w:t>) No separation;</w:t>
            </w:r>
          </w:p>
          <w:p w14:paraId="4602815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bCs/>
                <w:sz w:val="20"/>
                <w:szCs w:val="20"/>
              </w:rPr>
              <w:t>г</w:t>
            </w:r>
            <w:r w:rsidRPr="00AE2F72">
              <w:rPr>
                <w:rFonts w:cs="Times New Roman"/>
                <w:bCs/>
                <w:sz w:val="20"/>
                <w:szCs w:val="20"/>
                <w:lang w:val="en-US"/>
              </w:rPr>
              <w:t>) Bonded.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AC63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6035A7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04B9E8EB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D9135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73B86DD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 методам описания динамики сплошной среды можно отнести:</w:t>
            </w:r>
          </w:p>
          <w:p w14:paraId="055A341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метод Лагранжа;</w:t>
            </w:r>
          </w:p>
          <w:p w14:paraId="708DE4C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метод Рунге-Кутта;</w:t>
            </w:r>
          </w:p>
          <w:p w14:paraId="0E8E482A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метод Эйлера;</w:t>
            </w:r>
          </w:p>
          <w:p w14:paraId="03732AA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sz w:val="20"/>
                <w:szCs w:val="20"/>
              </w:rPr>
              <w:t>г) метод гидродинамики сглаженных частиц.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1B313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23CE21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8CEF115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93611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270C1AF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sz w:val="20"/>
                <w:szCs w:val="20"/>
              </w:rPr>
              <w:t>Наихудшему качеству ортогональности ячеек сеток соответствует значение: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641A6E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B56B79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44356DF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36D73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6C8A9ECE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cs="Times New Roman"/>
                <w:sz w:val="20"/>
                <w:szCs w:val="20"/>
              </w:rPr>
              <w:t>Минимальной невязкой по методу взвешенных невязок считается невязка, которая: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B061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9A4D9C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18A9C30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88FF6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467C06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Уравнение, связывающее между собой термодинамические параметры системы, такие как температура, давление, объем и массовая скорость, а также их приращения: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7C11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18B2A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9E2BDDF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6D073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4DC7C51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Система, в общем случае состоящая из технических средств, программного, методического и организационного обеспечения и квалифицированного персонала, предназначенная для проведения полигонных испытаний как результата исследования свойств цифровой модели (или цифрового двойника) объекта испытаний: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5D5E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52AE6BE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083DA61B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AEC59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246A187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AE2F72">
              <w:rPr>
                <w:rFonts w:cs="Times New Roman"/>
                <w:sz w:val="20"/>
                <w:szCs w:val="20"/>
              </w:rPr>
              <w:t>Немонотонность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решения в методе гидродинамики сглаженных частиц сглаживается путем введения: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3AC8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BF341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4CA5008A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A0E2F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429EF9A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Метод решения краевой задачи, в котором благодаря использованию функций Грина, она сводится к интегральному уравнению на границе расчетной области: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F487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61B9EB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B32E3F5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28619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6EAF505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Метод состоит в синхронных итерациях собственного вектора в подпространстве заданного измерения: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E765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15EC18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6CBC6FEE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F6D03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6D65EEE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Критерий качества сеточного разбиения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Orthogonal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Quality</w:t>
            </w:r>
            <w:r w:rsidRPr="00AE2F72">
              <w:rPr>
                <w:rFonts w:cs="Times New Roman"/>
                <w:sz w:val="20"/>
                <w:szCs w:val="20"/>
              </w:rPr>
              <w:t xml:space="preserve"> для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CFD</w:t>
            </w:r>
            <w:r w:rsidRPr="00AE2F72">
              <w:rPr>
                <w:rFonts w:cs="Times New Roman"/>
                <w:sz w:val="20"/>
                <w:szCs w:val="20"/>
              </w:rPr>
              <w:t xml:space="preserve">-решателей в системе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Meshing</w:t>
            </w:r>
            <w:r w:rsidRPr="00AE2F72">
              <w:rPr>
                <w:rFonts w:cs="Times New Roman"/>
                <w:sz w:val="20"/>
                <w:szCs w:val="20"/>
              </w:rPr>
              <w:t xml:space="preserve"> может принимать значения: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A6DC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BC2016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00F5F642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F016A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485EE0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Метод сеточного разбиения </w:t>
            </w:r>
            <w:proofErr w:type="spellStart"/>
            <w:r w:rsidRPr="00AE2F72">
              <w:rPr>
                <w:rFonts w:cs="Times New Roman"/>
                <w:sz w:val="20"/>
                <w:szCs w:val="20"/>
                <w:lang w:val="en-US"/>
              </w:rPr>
              <w:t>CutCells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для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CFD</w:t>
            </w:r>
            <w:r w:rsidRPr="00AE2F72">
              <w:rPr>
                <w:rFonts w:cs="Times New Roman"/>
                <w:sz w:val="20"/>
                <w:szCs w:val="20"/>
              </w:rPr>
              <w:t xml:space="preserve">-решателей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cs="Times New Roman"/>
                <w:sz w:val="20"/>
                <w:szCs w:val="20"/>
              </w:rPr>
              <w:t xml:space="preserve"> позволяет:</w:t>
            </w:r>
          </w:p>
          <w:p w14:paraId="2109C7C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строить неструктурированные сетки с четырехугольными элементами;</w:t>
            </w:r>
          </w:p>
          <w:p w14:paraId="0F4113F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производить автоматическую декомпозицию сложной геометрии на отдельные блоки с последующим построением на каждом блоке неструктурированной сетки;</w:t>
            </w:r>
          </w:p>
          <w:p w14:paraId="4EA72D2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разбивать область неструктурированной сеткой с элементами треугольной формы;</w:t>
            </w:r>
          </w:p>
          <w:p w14:paraId="7E7B8C1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выполнять построение сетки на основе правильных гексаэдров с последующим отсечением объемов, не входящих в геометрию, для коррекции поверхностной сетки.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F8A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EDE4B2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F411912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4E258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2B9C35C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Команда "/</w:t>
            </w:r>
            <w:proofErr w:type="spellStart"/>
            <w:r w:rsidRPr="00AE2F72">
              <w:rPr>
                <w:rFonts w:eastAsia="Calibri" w:cs="Times New Roman"/>
                <w:sz w:val="20"/>
                <w:szCs w:val="20"/>
              </w:rPr>
              <w:t>mesh</w:t>
            </w:r>
            <w:proofErr w:type="spellEnd"/>
            <w:r w:rsidRPr="00AE2F72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AE2F72">
              <w:rPr>
                <w:rFonts w:eastAsia="Calibri" w:cs="Times New Roman"/>
                <w:sz w:val="20"/>
                <w:szCs w:val="20"/>
              </w:rPr>
              <w:t>smooth</w:t>
            </w:r>
            <w:proofErr w:type="spellEnd"/>
            <w:r w:rsidRPr="00AE2F72">
              <w:rPr>
                <w:rFonts w:eastAsia="Calibri" w:cs="Times New Roman"/>
                <w:sz w:val="20"/>
                <w:szCs w:val="20"/>
              </w:rPr>
              <w:t xml:space="preserve">" в CAE </w:t>
            </w:r>
            <w:proofErr w:type="spellStart"/>
            <w:r w:rsidRPr="00AE2F72">
              <w:rPr>
                <w:rFonts w:eastAsia="Calibri" w:cs="Times New Roman"/>
                <w:sz w:val="20"/>
                <w:szCs w:val="20"/>
              </w:rPr>
              <w:t>Ansys</w:t>
            </w:r>
            <w:proofErr w:type="spellEnd"/>
            <w:r w:rsidRPr="00AE2F72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AE2F72">
              <w:rPr>
                <w:rFonts w:eastAsia="Calibri" w:cs="Times New Roman"/>
                <w:sz w:val="20"/>
                <w:szCs w:val="20"/>
              </w:rPr>
              <w:t>Fluent</w:t>
            </w:r>
            <w:proofErr w:type="spellEnd"/>
            <w:r w:rsidRPr="00AE2F72">
              <w:rPr>
                <w:rFonts w:eastAsia="Calibri" w:cs="Times New Roman"/>
                <w:sz w:val="20"/>
                <w:szCs w:val="20"/>
              </w:rPr>
              <w:t xml:space="preserve"> направлена на следующее действие:</w:t>
            </w:r>
          </w:p>
          <w:p w14:paraId="22C87A7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а) исправление отрицательных объемов;</w:t>
            </w:r>
          </w:p>
          <w:p w14:paraId="000E4F1E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б) снятие ограничения на перемещение пограничных узлов при исправлении отрицательных объемов;</w:t>
            </w:r>
          </w:p>
          <w:p w14:paraId="3FFDF45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в) использование процедуры сглаживания с указанием процента ячеек низкого качества;</w:t>
            </w:r>
          </w:p>
          <w:p w14:paraId="0C944BB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снятие ограничения на перемещение пограничных узлов при выполнении процедуры сглаживания.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F877E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59DBBF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E99002C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BAAAB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207F47E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Команда "/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mesh</w:t>
            </w:r>
            <w:r w:rsidRPr="00AE2F72">
              <w:rPr>
                <w:rFonts w:eastAsia="Calibri" w:cs="Times New Roman"/>
                <w:sz w:val="20"/>
                <w:szCs w:val="20"/>
              </w:rPr>
              <w:t>/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repair</w:t>
            </w:r>
            <w:r w:rsidRPr="00AE2F72">
              <w:rPr>
                <w:rFonts w:eastAsia="Calibri" w:cs="Times New Roman"/>
                <w:sz w:val="20"/>
                <w:szCs w:val="20"/>
              </w:rPr>
              <w:t>-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improve</w:t>
            </w:r>
            <w:r w:rsidRPr="00AE2F72">
              <w:rPr>
                <w:rFonts w:eastAsia="Calibri" w:cs="Times New Roman"/>
                <w:sz w:val="20"/>
                <w:szCs w:val="20"/>
              </w:rPr>
              <w:t>/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repair</w:t>
            </w:r>
            <w:r w:rsidRPr="00AE2F72">
              <w:rPr>
                <w:rFonts w:eastAsia="Calibri" w:cs="Times New Roman"/>
                <w:sz w:val="20"/>
                <w:szCs w:val="20"/>
              </w:rPr>
              <w:t xml:space="preserve">" в 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CAE</w:t>
            </w:r>
            <w:r w:rsidRPr="00AE2F7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E2F72">
              <w:rPr>
                <w:rFonts w:eastAsia="Calibri" w:cs="Times New Roman"/>
                <w:sz w:val="20"/>
                <w:szCs w:val="20"/>
                <w:lang w:val="en-US"/>
              </w:rPr>
              <w:t>Fluent</w:t>
            </w:r>
            <w:r w:rsidRPr="00AE2F72">
              <w:rPr>
                <w:rFonts w:eastAsia="Calibri" w:cs="Times New Roman"/>
                <w:sz w:val="20"/>
                <w:szCs w:val="20"/>
              </w:rPr>
              <w:t xml:space="preserve"> направлена на следующее действие:</w:t>
            </w:r>
          </w:p>
          <w:p w14:paraId="4DF5297A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а) исправление отрицательных объемов;</w:t>
            </w:r>
          </w:p>
          <w:p w14:paraId="514503A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б) снятие ограничения на перемещение пограничных узлов при исправлении отрицательных объемов;</w:t>
            </w:r>
          </w:p>
          <w:p w14:paraId="5FA967A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eastAsia="Calibri" w:cs="Times New Roman"/>
                <w:sz w:val="20"/>
                <w:szCs w:val="20"/>
              </w:rPr>
              <w:t>в) использование процедуры сглаживания с указанием процента ячеек низкого качества;</w:t>
            </w:r>
          </w:p>
          <w:p w14:paraId="00FA003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снятие ограничения на перемещение пограничных узлов при выполнении процедуры сглаживания.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91BD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79D74D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9F01935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89989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3516F8D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Метод сеточного разбиения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Multizone</w:t>
            </w:r>
            <w:r w:rsidRPr="00AE2F72">
              <w:rPr>
                <w:rFonts w:cs="Times New Roman"/>
                <w:sz w:val="20"/>
                <w:szCs w:val="20"/>
              </w:rPr>
              <w:t xml:space="preserve"> в системе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AE2F72">
              <w:rPr>
                <w:rFonts w:cs="Times New Roman"/>
                <w:sz w:val="20"/>
                <w:szCs w:val="20"/>
              </w:rPr>
              <w:t xml:space="preserve">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Meshing</w:t>
            </w:r>
            <w:r w:rsidRPr="00AE2F72">
              <w:rPr>
                <w:rFonts w:cs="Times New Roman"/>
                <w:sz w:val="20"/>
                <w:szCs w:val="20"/>
              </w:rPr>
              <w:t xml:space="preserve"> позволяет:</w:t>
            </w:r>
          </w:p>
          <w:p w14:paraId="4D55CC7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строить неструктурированные сетки с четырехугольными и треугольными элементами;</w:t>
            </w:r>
          </w:p>
          <w:p w14:paraId="6F91C21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производить автоматическую декомпозицию сложной геометрии на отдельные блоки с последующим построением на каждом блоке структурированной или неструктурированной сетки;</w:t>
            </w:r>
          </w:p>
          <w:p w14:paraId="45CF52B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разбивать область неструктурированной сеткой с элементами треугольной формы;</w:t>
            </w:r>
          </w:p>
          <w:p w14:paraId="3DA5A54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строить неструктурированные сетки с треугольными элементами.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735E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5B704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0D4402AF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3DAEC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6DF2735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B7C1B">
              <w:rPr>
                <w:rFonts w:cs="Times New Roman"/>
                <w:sz w:val="20"/>
                <w:szCs w:val="20"/>
              </w:rPr>
              <w:t xml:space="preserve">Соответствие результатов вычислительного эксперимента </w:t>
            </w:r>
            <w:r>
              <w:rPr>
                <w:rFonts w:cs="Times New Roman"/>
                <w:sz w:val="20"/>
                <w:szCs w:val="20"/>
              </w:rPr>
              <w:t>моделируемому изделию (явлению, процессу) по обоснованному перечню характеристик: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9BE1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34DDDD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040896D7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7A003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C323B8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Промежуточные данные, возникающие во время вычислений обратного хода в </w:t>
            </w:r>
            <w:proofErr w:type="spellStart"/>
            <w:r w:rsidRPr="00AE2F72">
              <w:rPr>
                <w:rFonts w:cs="Times New Roman"/>
                <w:sz w:val="20"/>
                <w:szCs w:val="20"/>
                <w:shd w:val="clear" w:color="auto" w:fill="FFFFFF"/>
              </w:rPr>
              <w:t>сверточной</w:t>
            </w:r>
            <w:proofErr w:type="spellEnd"/>
            <w:r w:rsidRPr="00AE2F72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нейронной сети аналогично тому, как карты признаков возникают во время вычислений прямого хода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733C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AFAD69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D8BF172" w14:textId="77777777" w:rsidTr="0055487F">
        <w:trPr>
          <w:trHeight w:val="103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F6862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10A44CE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  <w:shd w:val="clear" w:color="auto" w:fill="FFFFFF"/>
              </w:rPr>
              <w:t>Область исследования, вовлекающая понятия и методы математики, статистики, экономики, менеджмента и психологии с целью изучения закономерностей выбора людьми путей решения проблем и задач, а также способов достижения желаемого результата: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0B04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F6FE7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10A98D5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A6553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5CE02D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Слоистое течение без случайных пульсаций скорости, давления, температуры и других характеристик течения:</w:t>
            </w:r>
          </w:p>
          <w:p w14:paraId="5B50865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турбулентное течение;</w:t>
            </w:r>
          </w:p>
          <w:p w14:paraId="3B3F92D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ламинарное течение;</w:t>
            </w:r>
          </w:p>
          <w:p w14:paraId="10F077D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вязкое течение;</w:t>
            </w:r>
          </w:p>
          <w:p w14:paraId="7432BFC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сверхзвуковое течение.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7BB5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ABAF30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48D7744F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5E0D2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B00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Отличие этого метода от классического метода конечных элементов заключается в использовании конечных элементов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Неделека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C30D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48AB89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6209F133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5C82E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692D392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Подкласс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бессеточных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численных методов для решения задач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гидрогазодинамики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, основанный на непосредственно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лагранжевом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моделировании эволюции поля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завихренности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с использованием интегральной процедуры восстановления кинематических и динамических полей движущейся несжимаемой жидкости: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480D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FBF897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BC57FF2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103D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1CB6BE6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Разновидность вихревого элемента в плоскопараллельных течениях-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сингулярно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сосредоточенное в точке распределение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завихренности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C419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2AE176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2CB1264C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A4E77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631064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Суть метода оптимизации заключается в последовательном перемещении и деформировании симплекса вокруг точки экстремума: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4704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BB3683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0ADA483A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70D40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4664095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Расстояние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AE2F72">
              <w:rPr>
                <w:rFonts w:cs="Times New Roman"/>
                <w:sz w:val="20"/>
                <w:szCs w:val="20"/>
              </w:rPr>
              <w:t xml:space="preserve"> на которое распространяется действие ядра сглаживания в методе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SPH</w:t>
            </w:r>
            <w:r w:rsidRPr="00AE2F72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2D1B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AB41D71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666A738F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19A2E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554D0F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Бессеточный численный метод моделирования эволюции материального континуума различной физической природы, основанный на получении большого числа численных реализаций случайного процесса:</w:t>
            </w:r>
          </w:p>
          <w:p w14:paraId="21E28AE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а) метод вязких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вихретепловых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 xml:space="preserve"> доменов;</w:t>
            </w:r>
          </w:p>
          <w:p w14:paraId="0AF75F3E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б) метод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Бубнова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-Галеркина;</w:t>
            </w:r>
          </w:p>
          <w:p w14:paraId="4F0D7E27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метод Монте-Карло;</w:t>
            </w:r>
          </w:p>
          <w:p w14:paraId="53AD739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г) метод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Нелдера-Мида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4D8E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D61A7A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B02F6F0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01B61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C871754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Процесс при постоянной плотности</w:t>
            </w:r>
          </w:p>
          <w:p w14:paraId="4596C91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изохорный процесс;</w:t>
            </w:r>
          </w:p>
          <w:p w14:paraId="44ADF79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Б) изоэнтропический процесс;</w:t>
            </w:r>
          </w:p>
          <w:p w14:paraId="6100FD9A" w14:textId="77777777" w:rsidR="0055487F" w:rsidRPr="00786DF5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В) изобарический процесс</w:t>
            </w:r>
            <w:r w:rsidRPr="00786DF5">
              <w:rPr>
                <w:rFonts w:cs="Times New Roman"/>
                <w:sz w:val="20"/>
                <w:szCs w:val="20"/>
              </w:rPr>
              <w:t>;</w:t>
            </w:r>
          </w:p>
          <w:p w14:paraId="7E0DE64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адиабатический процесс.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B352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AA22F7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72AE505D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83CD0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0BD1D97F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 уравнению состояния продуктов детонации из перечисленных можно отнести:</w:t>
            </w:r>
          </w:p>
          <w:p w14:paraId="0C91A02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Уравнение Джона-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Уилкинса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-Ли;</w:t>
            </w:r>
          </w:p>
          <w:p w14:paraId="49B8ADF0" w14:textId="77777777" w:rsidR="0055487F" w:rsidRPr="00786DF5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б) Уравнение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Нахди</w:t>
            </w:r>
            <w:proofErr w:type="spellEnd"/>
            <w:r w:rsidRPr="00786DF5">
              <w:rPr>
                <w:rFonts w:cs="Times New Roman"/>
                <w:sz w:val="20"/>
                <w:szCs w:val="20"/>
              </w:rPr>
              <w:t>;</w:t>
            </w:r>
          </w:p>
          <w:p w14:paraId="4CF5A083" w14:textId="77777777" w:rsidR="0055487F" w:rsidRPr="00786DF5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Уравнение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Тиллотсона</w:t>
            </w:r>
            <w:proofErr w:type="spellEnd"/>
            <w:r w:rsidRPr="00786DF5">
              <w:rPr>
                <w:rFonts w:cs="Times New Roman"/>
                <w:sz w:val="20"/>
                <w:szCs w:val="20"/>
              </w:rPr>
              <w:t>;</w:t>
            </w:r>
          </w:p>
          <w:p w14:paraId="061B90A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Уравнение Джонсона-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Холмквиста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83BFD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EE2178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34F19863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DFF64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5F4B5FB1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 моделям прочности материалов можно отнести:</w:t>
            </w:r>
          </w:p>
          <w:p w14:paraId="69A2E443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а) модель Джонсона-Кука;</w:t>
            </w:r>
          </w:p>
          <w:p w14:paraId="291BCBD0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б) модель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Стейнберга-Гуинана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2A66AC80" w14:textId="77777777" w:rsidR="0055487F" w:rsidRPr="00AE2F72" w:rsidRDefault="0055487F" w:rsidP="00636682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модель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Зерилли-Армстронга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3FF47E5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г) модель Ми-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Грюнайзена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00D36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E17750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0185B2EA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FD7B2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64B2975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К моделям турбулентности можно отнести:</w:t>
            </w:r>
          </w:p>
          <w:p w14:paraId="3263B520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а)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AE2F72">
              <w:rPr>
                <w:rFonts w:cs="Times New Roman"/>
                <w:sz w:val="20"/>
                <w:szCs w:val="20"/>
              </w:rPr>
              <w:t>-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36285708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б) 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AE2F72">
              <w:rPr>
                <w:rFonts w:cs="Times New Roman"/>
                <w:sz w:val="20"/>
                <w:szCs w:val="20"/>
              </w:rPr>
              <w:t>-</w:t>
            </w:r>
            <w:r w:rsidRPr="00AE2F72">
              <w:rPr>
                <w:rFonts w:cs="Times New Roman"/>
                <w:sz w:val="20"/>
                <w:szCs w:val="20"/>
                <w:lang w:val="en-US"/>
              </w:rPr>
              <w:t>w</w:t>
            </w:r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449F8F8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Спаларта-Аллмараса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;</w:t>
            </w:r>
          </w:p>
          <w:p w14:paraId="3852A5D5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 xml:space="preserve">г) </w:t>
            </w:r>
            <w:proofErr w:type="spellStart"/>
            <w:r w:rsidRPr="00AE2F72">
              <w:rPr>
                <w:rFonts w:cs="Times New Roman"/>
                <w:sz w:val="20"/>
                <w:szCs w:val="20"/>
              </w:rPr>
              <w:t>Друкера-Прагера</w:t>
            </w:r>
            <w:proofErr w:type="spellEnd"/>
            <w:r w:rsidRPr="00AE2F7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61A0C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6C22803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5487F" w:rsidRPr="007B7531" w14:paraId="42B3BD00" w14:textId="77777777" w:rsidTr="0055487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D7ADA" w14:textId="77777777" w:rsidR="0055487F" w:rsidRPr="00992E46" w:rsidRDefault="0055487F" w:rsidP="001E74B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14:paraId="48CEA762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rPr>
                <w:rFonts w:cs="Times New Roman"/>
                <w:sz w:val="20"/>
                <w:szCs w:val="20"/>
              </w:rPr>
            </w:pPr>
            <w:r w:rsidRPr="00AE2F72">
              <w:rPr>
                <w:rFonts w:cs="Times New Roman"/>
                <w:sz w:val="20"/>
                <w:szCs w:val="20"/>
              </w:rPr>
              <w:t>Физическая модель прочности материала, основанная на теории дислокационной динамики, описывающая рост напряжений с уменьшением размера зерна: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E1AA9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ПСК-4.1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CD1ABAB" w14:textId="77777777" w:rsidR="0055487F" w:rsidRPr="00AE2F72" w:rsidRDefault="0055487F" w:rsidP="00636682">
            <w:pPr>
              <w:spacing w:before="100" w:beforeAutospacing="1" w:after="100" w:afterAutospacing="1" w:line="240" w:lineRule="auto"/>
              <w:ind w:left="113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F7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2454AF07" w14:textId="77777777" w:rsidR="007B7531" w:rsidRDefault="007B7531"/>
    <w:sectPr w:rsidR="007B7531" w:rsidSect="0055487F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13AD"/>
    <w:multiLevelType w:val="hybridMultilevel"/>
    <w:tmpl w:val="3FA2AFFC"/>
    <w:lvl w:ilvl="0" w:tplc="7E02A2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A2F4F"/>
    <w:multiLevelType w:val="hybridMultilevel"/>
    <w:tmpl w:val="7D5483CC"/>
    <w:lvl w:ilvl="0" w:tplc="7B304C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77728E"/>
    <w:multiLevelType w:val="hybridMultilevel"/>
    <w:tmpl w:val="822446A4"/>
    <w:lvl w:ilvl="0" w:tplc="4ED25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5B91191"/>
    <w:multiLevelType w:val="hybridMultilevel"/>
    <w:tmpl w:val="C89E073C"/>
    <w:lvl w:ilvl="0" w:tplc="EACE8B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3355F1A"/>
    <w:multiLevelType w:val="hybridMultilevel"/>
    <w:tmpl w:val="6E0EA762"/>
    <w:lvl w:ilvl="0" w:tplc="EEE094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C5910E8"/>
    <w:multiLevelType w:val="hybridMultilevel"/>
    <w:tmpl w:val="E20C7194"/>
    <w:lvl w:ilvl="0" w:tplc="0ACA3A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7258FE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7595"/>
    <w:rsid w:val="00073FB3"/>
    <w:rsid w:val="000F0600"/>
    <w:rsid w:val="001252C9"/>
    <w:rsid w:val="00157922"/>
    <w:rsid w:val="00166DF7"/>
    <w:rsid w:val="00167FB7"/>
    <w:rsid w:val="00196E84"/>
    <w:rsid w:val="001E1D2B"/>
    <w:rsid w:val="001E693A"/>
    <w:rsid w:val="001E74BF"/>
    <w:rsid w:val="00205862"/>
    <w:rsid w:val="002A47BE"/>
    <w:rsid w:val="002B26A9"/>
    <w:rsid w:val="002D7699"/>
    <w:rsid w:val="003008BF"/>
    <w:rsid w:val="0035586D"/>
    <w:rsid w:val="00367954"/>
    <w:rsid w:val="00371B37"/>
    <w:rsid w:val="00377124"/>
    <w:rsid w:val="00377B31"/>
    <w:rsid w:val="003859D1"/>
    <w:rsid w:val="003A6AB4"/>
    <w:rsid w:val="003D459C"/>
    <w:rsid w:val="003F35EC"/>
    <w:rsid w:val="003F3BED"/>
    <w:rsid w:val="004000DB"/>
    <w:rsid w:val="0042546C"/>
    <w:rsid w:val="00436510"/>
    <w:rsid w:val="00455C34"/>
    <w:rsid w:val="004B3601"/>
    <w:rsid w:val="00502C53"/>
    <w:rsid w:val="00515F08"/>
    <w:rsid w:val="0055487F"/>
    <w:rsid w:val="00601363"/>
    <w:rsid w:val="00617F58"/>
    <w:rsid w:val="006246E1"/>
    <w:rsid w:val="00653143"/>
    <w:rsid w:val="006755B2"/>
    <w:rsid w:val="006819C3"/>
    <w:rsid w:val="00686858"/>
    <w:rsid w:val="006F0735"/>
    <w:rsid w:val="00717480"/>
    <w:rsid w:val="00722FE3"/>
    <w:rsid w:val="00723A42"/>
    <w:rsid w:val="007439CC"/>
    <w:rsid w:val="007447EA"/>
    <w:rsid w:val="00765B17"/>
    <w:rsid w:val="00770812"/>
    <w:rsid w:val="00786DF5"/>
    <w:rsid w:val="007B0768"/>
    <w:rsid w:val="007B7531"/>
    <w:rsid w:val="007F0DC6"/>
    <w:rsid w:val="00802EE3"/>
    <w:rsid w:val="00871960"/>
    <w:rsid w:val="008C0791"/>
    <w:rsid w:val="008E0D4A"/>
    <w:rsid w:val="0090172E"/>
    <w:rsid w:val="00921AED"/>
    <w:rsid w:val="009474BB"/>
    <w:rsid w:val="00992E46"/>
    <w:rsid w:val="00A11826"/>
    <w:rsid w:val="00A42FD3"/>
    <w:rsid w:val="00A57210"/>
    <w:rsid w:val="00AE2F72"/>
    <w:rsid w:val="00B0604B"/>
    <w:rsid w:val="00B465FA"/>
    <w:rsid w:val="00B63427"/>
    <w:rsid w:val="00B63D11"/>
    <w:rsid w:val="00B71929"/>
    <w:rsid w:val="00BB1EA1"/>
    <w:rsid w:val="00BB7B90"/>
    <w:rsid w:val="00C12E2E"/>
    <w:rsid w:val="00C15101"/>
    <w:rsid w:val="00C46D62"/>
    <w:rsid w:val="00C80C2E"/>
    <w:rsid w:val="00C91ECA"/>
    <w:rsid w:val="00CD7687"/>
    <w:rsid w:val="00D16D7C"/>
    <w:rsid w:val="00D444AB"/>
    <w:rsid w:val="00D4468E"/>
    <w:rsid w:val="00D54515"/>
    <w:rsid w:val="00D97CB4"/>
    <w:rsid w:val="00DB5800"/>
    <w:rsid w:val="00DF6CC6"/>
    <w:rsid w:val="00EA7A6B"/>
    <w:rsid w:val="00F04460"/>
    <w:rsid w:val="00F41574"/>
    <w:rsid w:val="00F527FC"/>
    <w:rsid w:val="00F672D1"/>
    <w:rsid w:val="00F75EA9"/>
    <w:rsid w:val="00F95111"/>
    <w:rsid w:val="00FB0AD0"/>
    <w:rsid w:val="00FB7F89"/>
    <w:rsid w:val="00FC74BA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977A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6246E1"/>
    <w:pPr>
      <w:spacing w:after="0" w:line="240" w:lineRule="auto"/>
      <w:ind w:firstLine="0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6246E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BB252-AE79-484B-B1ED-3DE8E2BF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2024-06-20T09:15:00Z</dcterms:created>
  <dcterms:modified xsi:type="dcterms:W3CDTF">2024-06-20T09:15:00Z</dcterms:modified>
</cp:coreProperties>
</file>