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A5618A" w:rsidP="007B0768">
            <w:pPr>
              <w:ind w:firstLine="0"/>
              <w:jc w:val="center"/>
            </w:pPr>
            <w:r w:rsidRPr="00A5618A">
              <w:rPr>
                <w:b/>
                <w:bCs/>
              </w:rPr>
              <w:t>«Защита в чрезвычайных ситуациях»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</w:pPr>
          </w:p>
          <w:p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A5618A">
            <w:pPr>
              <w:ind w:firstLine="0"/>
              <w:rPr>
                <w:highlight w:val="yellow"/>
              </w:rPr>
            </w:pPr>
            <w:r w:rsidRPr="00A5618A">
              <w:t xml:space="preserve">20.04.01 </w:t>
            </w:r>
            <w:proofErr w:type="spellStart"/>
            <w:r w:rsidRPr="00A5618A">
              <w:t>Техносферная</w:t>
            </w:r>
            <w:proofErr w:type="spellEnd"/>
            <w:r w:rsidRPr="00A5618A">
              <w:t xml:space="preserve"> безопасность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A5618A">
            <w:pPr>
              <w:ind w:firstLine="0"/>
              <w:rPr>
                <w:highlight w:val="yellow"/>
              </w:rPr>
            </w:pPr>
            <w:r w:rsidRPr="00A5618A">
              <w:t>Инженерная защита окружающей среды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A5618A">
            <w:pPr>
              <w:ind w:firstLine="0"/>
              <w:rPr>
                <w:highlight w:val="yellow"/>
              </w:rPr>
            </w:pPr>
            <w:r w:rsidRPr="00A5618A">
              <w:t>Магистратура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A5618A" w:rsidP="007B7531">
            <w:pPr>
              <w:ind w:firstLine="0"/>
              <w:rPr>
                <w:highlight w:val="yellow"/>
              </w:rPr>
            </w:pPr>
            <w:r w:rsidRPr="00A5618A">
              <w:t>Очная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D32FB7" w:rsidRDefault="00A5618A" w:rsidP="007B7531">
            <w:pPr>
              <w:ind w:firstLine="0"/>
              <w:rPr>
                <w:highlight w:val="yellow"/>
              </w:rPr>
            </w:pPr>
            <w:r w:rsidRPr="00A5618A">
              <w:t>Е Оружие и системы вооружения</w:t>
            </w:r>
          </w:p>
        </w:tc>
      </w:tr>
      <w:tr w:rsidR="00A5618A" w:rsidRPr="007B7531" w:rsidTr="00330EFC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618A" w:rsidRPr="007B7531" w:rsidRDefault="00A5618A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:rsidR="00A5618A" w:rsidRPr="001E4BE5" w:rsidRDefault="00A5618A" w:rsidP="00196B6A">
            <w:pPr>
              <w:ind w:firstLine="0"/>
            </w:pPr>
            <w:r w:rsidRPr="001E4BE5">
              <w:t>Е5 «Экология и производственная безопасность»</w:t>
            </w:r>
          </w:p>
        </w:tc>
      </w:tr>
      <w:tr w:rsidR="00A5618A" w:rsidRPr="007B7531" w:rsidTr="00330EFC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618A" w:rsidRPr="007B7531" w:rsidRDefault="00A5618A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</w:tcPr>
          <w:p w:rsidR="00A5618A" w:rsidRDefault="00A5618A" w:rsidP="00196B6A">
            <w:pPr>
              <w:ind w:firstLine="0"/>
            </w:pPr>
            <w:r w:rsidRPr="001E4BE5">
              <w:t>Е5 «Экология и производственная безопасность»</w:t>
            </w:r>
          </w:p>
        </w:tc>
      </w:tr>
      <w:tr w:rsidR="007B7531" w:rsidRPr="007B7531" w:rsidTr="00A5618A">
        <w:trPr>
          <w:trHeight w:val="571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D32FB7" w:rsidRDefault="00A5618A">
            <w:pPr>
              <w:ind w:firstLine="0"/>
              <w:rPr>
                <w:highlight w:val="yellow"/>
              </w:rPr>
            </w:pPr>
            <w:r w:rsidRPr="00A5618A">
              <w:t>2023</w:t>
            </w:r>
          </w:p>
        </w:tc>
      </w:tr>
    </w:tbl>
    <w:p w:rsidR="006755B2" w:rsidRDefault="006755B2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 xml:space="preserve">ФОС по дисциплине </w:t>
      </w:r>
      <w:r w:rsidR="00A5618A" w:rsidRPr="00A5618A">
        <w:rPr>
          <w:rFonts w:eastAsia="Times New Roman" w:cs="Times New Roman"/>
          <w:b/>
          <w:bCs/>
          <w:sz w:val="20"/>
          <w:szCs w:val="20"/>
          <w:lang w:eastAsia="ru-RU"/>
        </w:rPr>
        <w:t>«Защита в чрезвычайных ситуациях»</w:t>
      </w:r>
    </w:p>
    <w:p w:rsidR="007B7531" w:rsidRPr="007B7531" w:rsidRDefault="007B7531" w:rsidP="00A5618A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A5618A" w:rsidRPr="00A5618A">
        <w:rPr>
          <w:rFonts w:eastAsia="Times New Roman" w:cs="Times New Roman"/>
          <w:b/>
          <w:bCs/>
          <w:sz w:val="20"/>
          <w:szCs w:val="20"/>
          <w:lang w:eastAsia="ru-RU"/>
        </w:rPr>
        <w:t>20.</w:t>
      </w:r>
      <w:r w:rsidR="00A5618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04.01 </w:t>
      </w:r>
      <w:proofErr w:type="spellStart"/>
      <w:r w:rsidR="00A5618A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="00A5618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 </w:t>
      </w:r>
      <w:r w:rsidR="00A5618A" w:rsidRPr="00A5618A">
        <w:rPr>
          <w:rFonts w:eastAsia="Times New Roman" w:cs="Times New Roman"/>
          <w:b/>
          <w:bCs/>
          <w:sz w:val="20"/>
          <w:szCs w:val="20"/>
          <w:lang w:eastAsia="ru-RU"/>
        </w:rPr>
        <w:t>Инженерная защита окружающей среды</w:t>
      </w:r>
      <w:r w:rsidR="00A5618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,  </w:t>
      </w:r>
      <w:r w:rsidR="00A5618A" w:rsidRPr="00A5618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форма обучения очная</w:t>
      </w:r>
    </w:p>
    <w:p w:rsidR="00196B6A" w:rsidRPr="00196B6A" w:rsidRDefault="00A5618A" w:rsidP="00196B6A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t>ПСК-1.4</w:t>
      </w:r>
      <w:r w:rsidR="00196B6A" w:rsidRPr="00196B6A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96B6A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785D9D">
        <w:rPr>
          <w:rFonts w:eastAsia="Times New Roman" w:cs="Times New Roman"/>
          <w:sz w:val="20"/>
          <w:szCs w:val="20"/>
          <w:lang w:eastAsia="ru-RU"/>
        </w:rPr>
        <w:t>способен</w:t>
      </w:r>
      <w:r w:rsidR="00196B6A" w:rsidRPr="00196B6A">
        <w:rPr>
          <w:rFonts w:eastAsia="Times New Roman" w:cs="Times New Roman"/>
          <w:sz w:val="20"/>
          <w:szCs w:val="20"/>
          <w:lang w:eastAsia="ru-RU"/>
        </w:rPr>
        <w:t xml:space="preserve"> разрабатывать, внедрять и совершенствовать системы экологического</w:t>
      </w:r>
      <w:r w:rsidR="00196B6A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96B6A" w:rsidRPr="00196B6A">
        <w:rPr>
          <w:rFonts w:eastAsia="Times New Roman" w:cs="Times New Roman"/>
          <w:sz w:val="20"/>
          <w:szCs w:val="20"/>
          <w:lang w:eastAsia="ru-RU"/>
        </w:rPr>
        <w:t>менеджмента в организации</w:t>
      </w:r>
      <w:r w:rsidR="00785D9D">
        <w:rPr>
          <w:rFonts w:eastAsia="Times New Roman" w:cs="Times New Roman"/>
          <w:sz w:val="20"/>
          <w:szCs w:val="20"/>
          <w:lang w:eastAsia="ru-RU"/>
        </w:rPr>
        <w:t>.</w:t>
      </w:r>
    </w:p>
    <w:p w:rsidR="007B7531" w:rsidRPr="007B7531" w:rsidRDefault="00196B6A" w:rsidP="00196B6A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УК-6 – </w:t>
      </w:r>
      <w:r w:rsidR="00785D9D">
        <w:rPr>
          <w:rFonts w:eastAsia="Times New Roman" w:cs="Times New Roman"/>
          <w:sz w:val="20"/>
          <w:szCs w:val="20"/>
          <w:lang w:eastAsia="ru-RU"/>
        </w:rPr>
        <w:t>способен</w:t>
      </w:r>
      <w:r w:rsidRPr="00196B6A">
        <w:rPr>
          <w:rFonts w:eastAsia="Times New Roman" w:cs="Times New Roman"/>
          <w:sz w:val="20"/>
          <w:szCs w:val="20"/>
          <w:lang w:eastAsia="ru-RU"/>
        </w:rPr>
        <w:t xml:space="preserve"> определять и реализовывать приоритеты собственной деятельности и способы её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196B6A">
        <w:rPr>
          <w:rFonts w:eastAsia="Times New Roman" w:cs="Times New Roman"/>
          <w:sz w:val="20"/>
          <w:szCs w:val="20"/>
          <w:lang w:eastAsia="ru-RU"/>
        </w:rPr>
        <w:t>совершенствования на основе самооценки</w:t>
      </w:r>
      <w:r w:rsidR="00785D9D">
        <w:rPr>
          <w:rFonts w:eastAsia="Times New Roman" w:cs="Times New Roman"/>
          <w:sz w:val="20"/>
          <w:szCs w:val="20"/>
          <w:lang w:eastAsia="ru-RU"/>
        </w:rPr>
        <w:t>.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67"/>
        <w:gridCol w:w="6007"/>
        <w:gridCol w:w="1659"/>
        <w:gridCol w:w="1857"/>
      </w:tblGrid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7B7531" w:rsidRDefault="00164283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7B7531" w:rsidRDefault="00164283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164283" w:rsidRPr="007B7531" w:rsidRDefault="00164283" w:rsidP="00196B6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7B7531" w:rsidRDefault="00164283" w:rsidP="00196B6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веществам кожно-нарывного действия не относятся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-хлор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-фосген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-иприт</w:t>
            </w:r>
          </w:p>
          <w:p w:rsidR="00164283" w:rsidRPr="00205862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-люизит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164283" w:rsidRPr="00205862" w:rsidRDefault="00164283" w:rsidP="00196B6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205862" w:rsidRDefault="00164283" w:rsidP="00196B6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ионизирующим излучениям не относятся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-инфракрасное излучение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-радиоволны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-рентгеновские лучи</w:t>
            </w:r>
          </w:p>
          <w:p w:rsidR="00164283" w:rsidRPr="00992E46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-гамма-излучение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0E585E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Геологические ЧС природного характера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-сели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-оползни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-извержения вулканов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-паводки</w:t>
            </w:r>
          </w:p>
          <w:p w:rsidR="00164283" w:rsidRPr="00205862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-лесные пожары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0E585E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получении сигнала о приближении цунами необходимо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-использовать укрытия 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-возвести защитные сооружения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-кораблям выйти в открытое море</w:t>
            </w:r>
          </w:p>
          <w:p w:rsidR="00164283" w:rsidRPr="00205862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-населению эвакуироваться на возвышенные места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0E585E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Основными источниками бета-излучения после радиационной аварии являются изотопы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-цезия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-йода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-урана</w:t>
            </w:r>
          </w:p>
          <w:p w:rsidR="00164283" w:rsidRPr="00205862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-стронция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0E585E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Массовые заболевания растений и животных называются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-пандемии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156B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эпидемии, 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156B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эпизоотии, 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156B5">
              <w:rPr>
                <w:rFonts w:eastAsia="Times New Roman" w:cs="Times New Roman"/>
                <w:sz w:val="20"/>
                <w:szCs w:val="20"/>
                <w:lang w:eastAsia="ru-RU"/>
              </w:rPr>
              <w:t>эпифитотии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0E585E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ОЗК и другие защитные костюмы не защищают человека от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-альфа-лучей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-бета-лучей</w:t>
            </w:r>
          </w:p>
          <w:p w:rsidR="0016428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-гамма-лучей</w:t>
            </w:r>
          </w:p>
          <w:p w:rsidR="00164283" w:rsidRPr="00205862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-нейтронов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0E585E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6304">
              <w:rPr>
                <w:rFonts w:eastAsia="Times New Roman" w:cs="Times New Roman"/>
                <w:sz w:val="20"/>
                <w:szCs w:val="20"/>
                <w:lang w:eastAsia="ru-RU"/>
              </w:rPr>
              <w:t>Действия населения при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пожаре</w:t>
            </w:r>
          </w:p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[   ].</w:t>
            </w:r>
            <w:r>
              <w:t xml:space="preserve"> </w:t>
            </w:r>
            <w:r w:rsidRPr="00ED6304">
              <w:rPr>
                <w:rFonts w:eastAsia="Times New Roman" w:cs="Times New Roman"/>
                <w:sz w:val="20"/>
                <w:szCs w:val="20"/>
                <w:lang w:eastAsia="ru-RU"/>
              </w:rPr>
              <w:t>Предупредить других людей о пожаре, предотвращая панику.</w:t>
            </w:r>
          </w:p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ED6304">
              <w:rPr>
                <w:rFonts w:eastAsia="Times New Roman" w:cs="Times New Roman"/>
                <w:sz w:val="20"/>
                <w:szCs w:val="20"/>
                <w:lang w:eastAsia="ru-RU"/>
              </w:rPr>
              <w:t>Вызвать пожарных.</w:t>
            </w:r>
          </w:p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ED6304">
              <w:rPr>
                <w:rFonts w:eastAsia="Times New Roman" w:cs="Times New Roman"/>
                <w:sz w:val="20"/>
                <w:szCs w:val="20"/>
                <w:lang w:eastAsia="ru-RU"/>
              </w:rPr>
              <w:t>В случае небольшого пожара попробовать потушить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огонь</w:t>
            </w:r>
          </w:p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ED6304">
              <w:rPr>
                <w:rFonts w:eastAsia="Times New Roman" w:cs="Times New Roman"/>
                <w:sz w:val="20"/>
                <w:szCs w:val="20"/>
                <w:lang w:eastAsia="ru-RU"/>
              </w:rPr>
              <w:t>Если пламя значительно распространяется, немедленно покинуть помещение.</w:t>
            </w:r>
          </w:p>
          <w:p w:rsidR="00164283" w:rsidRPr="00205862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ED6304">
              <w:rPr>
                <w:rFonts w:eastAsia="Times New Roman" w:cs="Times New Roman"/>
                <w:sz w:val="20"/>
                <w:szCs w:val="20"/>
                <w:lang w:eastAsia="ru-RU"/>
              </w:rPr>
              <w:t>Если невозможно покинуть помещение - оставаться в нем, закрыв окна и двери, привлекать внимание очевидцев через стекло.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205862" w:rsidRDefault="00164283" w:rsidP="00196B6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2A89">
              <w:rPr>
                <w:rFonts w:eastAsia="Times New Roman" w:cs="Times New Roman"/>
                <w:sz w:val="20"/>
                <w:szCs w:val="20"/>
                <w:lang w:eastAsia="ru-RU"/>
              </w:rPr>
              <w:t>При внезапном наводнении до прибытия помощи необходимо</w:t>
            </w:r>
          </w:p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082A89">
              <w:rPr>
                <w:rFonts w:eastAsia="Times New Roman" w:cs="Times New Roman"/>
                <w:sz w:val="20"/>
                <w:szCs w:val="20"/>
                <w:lang w:eastAsia="ru-RU"/>
              </w:rPr>
              <w:t>Принять меры, позволяющие спасателям своевременно обнаружить людей, отрезанных водой и нуждающихся в помощи:</w:t>
            </w:r>
          </w:p>
          <w:p w:rsidR="00164283" w:rsidRPr="00082A89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082A89">
              <w:rPr>
                <w:rFonts w:eastAsia="Times New Roman" w:cs="Times New Roman"/>
                <w:sz w:val="20"/>
                <w:szCs w:val="20"/>
                <w:lang w:eastAsia="ru-RU"/>
              </w:rPr>
              <w:t>Если вода продолжает прибывать:</w:t>
            </w:r>
          </w:p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2A89">
              <w:rPr>
                <w:rFonts w:eastAsia="Times New Roman" w:cs="Times New Roman"/>
                <w:sz w:val="20"/>
                <w:szCs w:val="20"/>
                <w:lang w:eastAsia="ru-RU"/>
              </w:rPr>
              <w:t>сделайте плот из подручных материалов;</w:t>
            </w:r>
          </w:p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082A8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Занять ближайшее безопасное возвышенное место и быть готовым к организованной эвакуации по воде.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082A89">
              <w:rPr>
                <w:rFonts w:eastAsia="Times New Roman" w:cs="Times New Roman"/>
                <w:sz w:val="20"/>
                <w:szCs w:val="20"/>
                <w:lang w:eastAsia="ru-RU"/>
              </w:rPr>
              <w:t>Если затопление в селе или частном секторе, отогнать скот в безопасные места, отдаленные от зоны затопления.</w:t>
            </w:r>
          </w:p>
          <w:p w:rsidR="00164283" w:rsidRPr="00205862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1A4A17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082A89">
              <w:rPr>
                <w:rFonts w:eastAsia="Times New Roman" w:cs="Times New Roman"/>
                <w:sz w:val="20"/>
                <w:szCs w:val="20"/>
                <w:lang w:eastAsia="ru-RU"/>
              </w:rPr>
              <w:t>орядок действия населения при бурях</w:t>
            </w:r>
          </w:p>
          <w:p w:rsidR="00164283" w:rsidRPr="00D4263F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D4263F">
              <w:rPr>
                <w:rFonts w:eastAsia="Times New Roman" w:cs="Times New Roman"/>
                <w:sz w:val="20"/>
                <w:szCs w:val="20"/>
                <w:lang w:eastAsia="ru-RU"/>
              </w:rPr>
              <w:t>Подготовить аварийное освещение, фонари, свечи</w:t>
            </w:r>
          </w:p>
          <w:p w:rsidR="00164283" w:rsidRPr="00D4263F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4263F">
              <w:rPr>
                <w:rFonts w:eastAsia="Times New Roman" w:cs="Times New Roman"/>
                <w:sz w:val="20"/>
                <w:szCs w:val="20"/>
                <w:lang w:eastAsia="ru-RU"/>
              </w:rPr>
              <w:t>Создать запас воды и продуктов питания на 2-3 суток</w:t>
            </w:r>
          </w:p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4263F">
              <w:rPr>
                <w:rFonts w:eastAsia="Times New Roman" w:cs="Times New Roman"/>
                <w:sz w:val="20"/>
                <w:szCs w:val="20"/>
                <w:lang w:eastAsia="ru-RU"/>
              </w:rPr>
              <w:t>Подготовить медикаменты и перевязочные материалы</w:t>
            </w:r>
          </w:p>
          <w:p w:rsidR="00164283" w:rsidRPr="00D4263F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[   ].</w:t>
            </w:r>
            <w:r>
              <w:t xml:space="preserve"> </w:t>
            </w:r>
            <w:r w:rsidRPr="00D4263F">
              <w:rPr>
                <w:rFonts w:eastAsia="Times New Roman" w:cs="Times New Roman"/>
                <w:sz w:val="20"/>
                <w:szCs w:val="20"/>
                <w:lang w:eastAsia="ru-RU"/>
              </w:rPr>
              <w:t>Убрать с балконов, лоджий, подоконников вещи</w:t>
            </w:r>
          </w:p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4263F">
              <w:rPr>
                <w:rFonts w:eastAsia="Times New Roman" w:cs="Times New Roman"/>
                <w:sz w:val="20"/>
                <w:szCs w:val="20"/>
                <w:lang w:eastAsia="ru-RU"/>
              </w:rPr>
              <w:t>Заклеить стекла полосками бумаги</w:t>
            </w:r>
          </w:p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D4263F">
              <w:rPr>
                <w:rFonts w:eastAsia="Times New Roman" w:cs="Times New Roman"/>
                <w:sz w:val="20"/>
                <w:szCs w:val="20"/>
                <w:lang w:eastAsia="ru-RU"/>
              </w:rPr>
              <w:t>Закрыть окна, двери, чердачные помещения</w:t>
            </w:r>
          </w:p>
          <w:p w:rsidR="00164283" w:rsidRPr="006A3817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D4263F">
              <w:rPr>
                <w:rFonts w:eastAsia="Times New Roman" w:cs="Times New Roman"/>
                <w:sz w:val="20"/>
                <w:szCs w:val="20"/>
                <w:lang w:eastAsia="ru-RU"/>
              </w:rPr>
              <w:t>Выключить газ, потушить огонь, отключить все электроприборы</w:t>
            </w:r>
          </w:p>
          <w:p w:rsidR="00164283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3817">
              <w:rPr>
                <w:rFonts w:eastAsia="Times New Roman" w:cs="Times New Roman"/>
                <w:sz w:val="20"/>
                <w:szCs w:val="20"/>
                <w:lang w:eastAsia="ru-RU"/>
              </w:rPr>
              <w:t>[   ].</w:t>
            </w:r>
            <w:r>
              <w:t xml:space="preserve"> </w:t>
            </w:r>
            <w:r w:rsidRPr="00D4263F">
              <w:rPr>
                <w:rFonts w:eastAsia="Times New Roman" w:cs="Times New Roman"/>
                <w:sz w:val="20"/>
                <w:szCs w:val="20"/>
                <w:lang w:eastAsia="ru-RU"/>
              </w:rPr>
              <w:t>Укрыться в подвале, погребе или занять внутреннюю комнату, подальше от окон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1A4A17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722FE3" w:rsidRDefault="00164283" w:rsidP="009017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Основная защита от радона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1A4A17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722FE3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Что такое вакцина?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1A4A17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3859D1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ПДК радона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1A4A17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3859D1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Особо опасные инфекции - это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1A4A17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3859D1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угарного газа в жилых домах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1A4A17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3859D1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 отличить метиловый спирт от пищевого?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1A4A17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3859D1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цианистого водорода при пожарах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1A4A17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3859D1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Второй класс химической опасности предприятий – это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1A4A17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3859D1" w:rsidRDefault="00164283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Первая помощь при болевом травматическом шоке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1A4A17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7B7531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992E46" w:rsidRDefault="00164283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6404E8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6404E8">
              <w:rPr>
                <w:rFonts w:eastAsia="Times New Roman" w:cs="Times New Roman"/>
                <w:sz w:val="22"/>
                <w:lang w:eastAsia="ru-RU"/>
              </w:rPr>
              <w:t xml:space="preserve">Что такое психические эпидемии? </w:t>
            </w:r>
          </w:p>
          <w:p w:rsidR="00164283" w:rsidRPr="006404E8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  <w:p w:rsidR="00164283" w:rsidRPr="006404E8" w:rsidRDefault="00164283" w:rsidP="00BC1D61">
            <w:pPr>
              <w:spacing w:after="0" w:line="240" w:lineRule="auto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7A320C">
              <w:rPr>
                <w:rFonts w:eastAsia="Times New Roman" w:cs="Times New Roman"/>
                <w:sz w:val="20"/>
                <w:szCs w:val="20"/>
                <w:lang w:eastAsia="ru-RU"/>
              </w:rPr>
              <w:t>ПСК 1.4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Default="00164283" w:rsidP="00196B6A">
            <w:pPr>
              <w:ind w:firstLine="0"/>
              <w:jc w:val="center"/>
            </w:pPr>
            <w:r w:rsidRPr="001A4A17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bookmarkEnd w:id="0"/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196B6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Оптимальным средством защиты от облака хлора</w:t>
            </w:r>
            <w:r w:rsidRPr="00414A7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является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-газовое убежище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-противогаз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-респиратор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-изолирующий кислородный прибор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196B6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При поражении зарином  необходимо применить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-красный шприц-тюбик из аптечки АИ-2, АИ-3  (</w:t>
            </w:r>
            <w:proofErr w:type="spellStart"/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афин</w:t>
            </w:r>
            <w:proofErr w:type="spellEnd"/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-атропин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унитиол</w:t>
            </w:r>
            <w:proofErr w:type="spellEnd"/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-глюкозу 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действий при остром отравлении хлором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-[ ] строгий постельный режим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-[  ] ингаляция теплыми водяными парами с добавлением соды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 ] промывание носа, глаз и рта 2% р-ром соды 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-[  ] обильное питье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Отдаленные последствия приема легких наркотиков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-без последствий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-«яркие» ощущения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-зависимость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-импотенция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действий при остром отравлении (ЖКТ)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-[  ] очистить кишечник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-[  ] очистить желудок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-[  ] прием активированного угля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val="en-US" w:eastAsia="ru-RU"/>
              </w:rPr>
              <w:t>-[  ]</w:t>
            </w: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введение антидотов, обильное питье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действий при остром отравлении ФОС (фосфорорганическими пестицидами)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-[  ] атропин в/</w:t>
            </w:r>
            <w:proofErr w:type="gramStart"/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 мл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-[  ] очистить желудок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-[  ] прием активированного угля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-[  ] обильное питье - 2% раствор соды 1 л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К ОВ</w:t>
            </w:r>
            <w:proofErr w:type="gramEnd"/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нервно-паралитического действия относятся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14A72">
              <w:rPr>
                <w:rFonts w:eastAsia="Times New Roman" w:cs="Times New Roman"/>
                <w:sz w:val="20"/>
                <w:szCs w:val="20"/>
                <w:lang w:val="en-US" w:eastAsia="ru-RU"/>
              </w:rPr>
              <w:t>BZ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414A72">
              <w:rPr>
                <w:rFonts w:eastAsia="Times New Roman" w:cs="Times New Roman"/>
                <w:sz w:val="20"/>
                <w:szCs w:val="20"/>
                <w:lang w:val="en-US" w:eastAsia="ru-RU"/>
              </w:rPr>
              <w:t>VX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-зоман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-фосген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-хлор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Противогаз не защитит от поражения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-ипритом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-BZ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-VX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-фосгеном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К особо опасным инфекциям относятся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-чума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-лихорадка </w:t>
            </w:r>
            <w:proofErr w:type="spellStart"/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Эбола</w:t>
            </w:r>
            <w:proofErr w:type="spellEnd"/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-ковид-19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-тиф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К ионизирующим излучениям электромагнитной природы не относятся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-альфа-лучи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-бета-лучи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-гамма-лучи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-рентген-лучи</w:t>
            </w:r>
          </w:p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-нейтроны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удушающих газов в СПб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Основная защита от гамма лучей в полевых условиях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Эпидемический очаг это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В чем заключается первая помощь при синдроме длительного сдавливания?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Действия при сообщении о приближении селевого потока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Противоядие от иприта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удушающих газов в СПб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Профессиональная допустимая годовая доза ионизирующего излучения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Профессиональная допустимая разовая доза ионизирующего излучения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164283" w:rsidRPr="00414A72" w:rsidTr="00164283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numPr>
                <w:ilvl w:val="0"/>
                <w:numId w:val="3"/>
              </w:numPr>
              <w:spacing w:after="0" w:line="240" w:lineRule="auto"/>
              <w:ind w:left="1353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164283" w:rsidRPr="00414A72" w:rsidRDefault="00164283" w:rsidP="00414A7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Карантин-это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164283" w:rsidRPr="00414A72" w:rsidRDefault="00164283" w:rsidP="00196B6A">
            <w:pPr>
              <w:ind w:firstLine="0"/>
              <w:jc w:val="center"/>
              <w:rPr>
                <w:rFonts w:eastAsia="Calibri" w:cs="Times New Roman"/>
              </w:rPr>
            </w:pPr>
            <w:r w:rsidRPr="00414A72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</w:tbl>
    <w:p w:rsidR="00414A72" w:rsidRDefault="00414A72" w:rsidP="00164283">
      <w:pPr>
        <w:ind w:firstLine="0"/>
      </w:pPr>
    </w:p>
    <w:sectPr w:rsidR="00414A72" w:rsidSect="00164283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BA25B6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68"/>
    <w:rsid w:val="00034B83"/>
    <w:rsid w:val="00070BC4"/>
    <w:rsid w:val="00164283"/>
    <w:rsid w:val="00196B6A"/>
    <w:rsid w:val="001E2BF8"/>
    <w:rsid w:val="00205862"/>
    <w:rsid w:val="002253E4"/>
    <w:rsid w:val="00240C2E"/>
    <w:rsid w:val="002C0E7E"/>
    <w:rsid w:val="003008BF"/>
    <w:rsid w:val="003032A6"/>
    <w:rsid w:val="00346C61"/>
    <w:rsid w:val="00377124"/>
    <w:rsid w:val="003859D1"/>
    <w:rsid w:val="004000DB"/>
    <w:rsid w:val="00414A72"/>
    <w:rsid w:val="004156B5"/>
    <w:rsid w:val="00515F08"/>
    <w:rsid w:val="00586F22"/>
    <w:rsid w:val="006755B2"/>
    <w:rsid w:val="00686858"/>
    <w:rsid w:val="00717480"/>
    <w:rsid w:val="00722FE3"/>
    <w:rsid w:val="007447EA"/>
    <w:rsid w:val="00770812"/>
    <w:rsid w:val="00785D9D"/>
    <w:rsid w:val="007B0768"/>
    <w:rsid w:val="007B7531"/>
    <w:rsid w:val="00852AB6"/>
    <w:rsid w:val="00871960"/>
    <w:rsid w:val="0090172E"/>
    <w:rsid w:val="0090671F"/>
    <w:rsid w:val="00992E46"/>
    <w:rsid w:val="00A3518A"/>
    <w:rsid w:val="00A5618A"/>
    <w:rsid w:val="00BB7B90"/>
    <w:rsid w:val="00C15101"/>
    <w:rsid w:val="00D32FB7"/>
    <w:rsid w:val="00D444AB"/>
    <w:rsid w:val="00D54515"/>
    <w:rsid w:val="00F04460"/>
    <w:rsid w:val="00F527FC"/>
    <w:rsid w:val="00F672D1"/>
    <w:rsid w:val="00F75EA9"/>
    <w:rsid w:val="00FB0AD0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B5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6B5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D869-1491-430B-B8D5-860B98ADF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Иванова Ольга Юрьевна</cp:lastModifiedBy>
  <cp:revision>2</cp:revision>
  <dcterms:created xsi:type="dcterms:W3CDTF">2024-06-19T13:10:00Z</dcterms:created>
  <dcterms:modified xsi:type="dcterms:W3CDTF">2024-06-19T13:10:00Z</dcterms:modified>
</cp:coreProperties>
</file>